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7F4AB3" w:rsidRDefault="004C0BE7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F4AB3">
        <w:rPr>
          <w:rFonts w:ascii="Times New Roman" w:hAnsi="Times New Roman"/>
          <w:sz w:val="28"/>
          <w:szCs w:val="28"/>
          <w:u w:val="single"/>
        </w:rPr>
        <w:t xml:space="preserve">25.01.2020 </w:t>
      </w:r>
      <w:r w:rsidRPr="007F4AB3">
        <w:rPr>
          <w:rFonts w:ascii="Times New Roman" w:hAnsi="Times New Roman"/>
          <w:sz w:val="28"/>
          <w:szCs w:val="28"/>
        </w:rPr>
        <w:t>№</w:t>
      </w:r>
      <w:r w:rsidRPr="007F4AB3">
        <w:rPr>
          <w:rFonts w:ascii="Times New Roman" w:hAnsi="Times New Roman"/>
          <w:sz w:val="28"/>
          <w:szCs w:val="28"/>
          <w:u w:val="single"/>
        </w:rPr>
        <w:t xml:space="preserve"> 147-п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867CA4" w:rsidRPr="00867CA4">
        <w:rPr>
          <w:rFonts w:eastAsia="Calibri" w:cs="Arial"/>
          <w:lang w:eastAsia="en-US"/>
        </w:rPr>
        <w:t>50:33:0040130:618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867CA4" w:rsidRPr="00867CA4">
        <w:rPr>
          <w:rFonts w:cs="Arial"/>
        </w:rPr>
        <w:t>50:33:0040130:807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 </w:t>
      </w:r>
      <w:r w:rsidR="002D4C0B">
        <w:rPr>
          <w:rFonts w:cs="Arial"/>
        </w:rPr>
        <w:t xml:space="preserve">районе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proofErr w:type="gramEnd"/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867CA4">
        <w:rPr>
          <w:rFonts w:cs="Arial"/>
        </w:rPr>
        <w:t>605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C0264"/>
    <w:rsid w:val="002D4C0B"/>
    <w:rsid w:val="004C0BE7"/>
    <w:rsid w:val="005226EE"/>
    <w:rsid w:val="00760584"/>
    <w:rsid w:val="007F4AB3"/>
    <w:rsid w:val="00867CA4"/>
    <w:rsid w:val="00A574C9"/>
    <w:rsid w:val="00AC3DE1"/>
    <w:rsid w:val="00BA3F00"/>
    <w:rsid w:val="00D63EC1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BD68C-B29F-4CD7-8000-A6873087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7</cp:revision>
  <cp:lastPrinted>2021-01-18T09:14:00Z</cp:lastPrinted>
  <dcterms:created xsi:type="dcterms:W3CDTF">2020-12-30T07:41:00Z</dcterms:created>
  <dcterms:modified xsi:type="dcterms:W3CDTF">2022-01-14T09:01:00Z</dcterms:modified>
</cp:coreProperties>
</file>